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jc w:val="center"/>
        <w:outlineLvl w:val="0"/>
        <w:rPr>
          <w:rFonts w:ascii="Times New Roman" w:hAnsi="Times New Roman" w:eastAsia="Times New Roman" w:cs="Times New Roman"/>
          <w:caps/>
          <w:color w:val="BD2682"/>
          <w:sz w:val="32"/>
          <w:szCs w:val="36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aps/>
          <w:color w:val="BD2682"/>
          <w:sz w:val="32"/>
          <w:szCs w:val="36"/>
          <w:lang w:eastAsia="ru-RU"/>
        </w:rPr>
        <w:t>«БОТУЛИНОТЕРАПИЯ В ЛЕЧЕНИИ ФОКАЛЬНЫХ ДИСТОНИЙ, ГЕМИФАЦИАЛЬНОГО СПАЗМА И ХРОНИЧЕСКОЙ МИГРЕНИ»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Программа предусматривает повышение уровня подготовки врачей по лечению пациентов с фокальными дистониями, гемифациальным спазмом и хронической мигренью (первичное обучение  методике ботулинотерапии).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Категория слушателей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врачи неврологи, нейрохирурги, смежные специалисты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обучения: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18  академических часов.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Форма обучения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– очная.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Центральный Институт Ботулинотерапии и Актуальной Неврологии, бульвар Маршала Рокоссовского, дом 6,корпус 1В, 7 подъезд, 4 этаж.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итогам обучения выдается удостоверение о повышении квалификации государственного образца и сертификаты-разрешения на применение препаратов ботулинического нейропротеина от компаний-производителей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Контакты для записи: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+7(925)163-53-10.+7(495)241-31-18.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12" w:after="240"/>
        <w:outlineLvl w:val="1"/>
        <w:rPr>
          <w:rFonts w:ascii="Times New Roman" w:hAnsi="Times New Roman" w:eastAsia="Times New Roman" w:cs="Times New Roman"/>
          <w:caps/>
          <w:color w:val="BD2682"/>
          <w:sz w:val="32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color w:val="BD2682"/>
          <w:sz w:val="32"/>
          <w:szCs w:val="36"/>
          <w:lang w:eastAsia="ru-RU"/>
        </w:rPr>
        <w:t>СОДЕРЖАНИЕ УЧЕБНОЙ ПРОГРАММЫ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Теоретические основы ботулинотерапии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Дистония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Ботулинотерапия в лечении цервикальной дистонии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Ботулинотерапия в лечении блефароспазма и гемифациального спазма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Ботулинотерапия в лечении хронической мигрени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12" w:after="240"/>
        <w:outlineLvl w:val="2"/>
        <w:rPr>
          <w:rFonts w:ascii="Times New Roman" w:hAnsi="Times New Roman" w:eastAsia="Times New Roman" w:cs="Times New Roman"/>
          <w:caps/>
          <w:color w:val="BD2682"/>
          <w:sz w:val="28"/>
          <w:szCs w:val="32"/>
          <w:lang w:eastAsia="ru-RU"/>
        </w:rPr>
      </w:pPr>
      <w:r>
        <w:rPr>
          <w:rFonts w:eastAsia="Times New Roman" w:cs="Times New Roman" w:ascii="Times New Roman" w:hAnsi="Times New Roman"/>
          <w:caps/>
          <w:color w:val="BD2682"/>
          <w:sz w:val="28"/>
          <w:szCs w:val="32"/>
          <w:lang w:eastAsia="ru-RU"/>
        </w:rPr>
        <w:t>ТЕОРЕТИЧЕСКИЕ ОСНОВЫ БОТУЛИНОТЕРАПИИ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История ботулинотерапии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Структура и механизм действия БТА. Иммунорезистентность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Препараты ботулотоксина типа А, зарегистрированные в РФ (состав, логистика, показания к применению и противопоказания, нежелательные явления)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Доказательная база безопасности и эффективности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Правила и последовательность проведения процедуры ботулинотерапии. Контроль инъекций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12" w:after="240"/>
        <w:outlineLvl w:val="2"/>
        <w:rPr>
          <w:rFonts w:ascii="Times New Roman" w:hAnsi="Times New Roman" w:eastAsia="Times New Roman" w:cs="Times New Roman"/>
          <w:caps/>
          <w:color w:val="BD2682"/>
          <w:sz w:val="28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color w:val="BD2682"/>
          <w:sz w:val="28"/>
          <w:szCs w:val="36"/>
          <w:lang w:eastAsia="ru-RU"/>
        </w:rPr>
        <w:t>ДИСТОНИЯ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История изучения дистонии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Определение дистонии, классификация, характеристика клинических форм дистонии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Симптоматика дистонии, динамичность клинической картины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Моторные и немоторные симптомы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Методы лечения, законодательная база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12" w:after="240"/>
        <w:outlineLvl w:val="2"/>
        <w:rPr>
          <w:rFonts w:ascii="Times New Roman" w:hAnsi="Times New Roman" w:eastAsia="Times New Roman" w:cs="Times New Roman"/>
          <w:caps/>
          <w:color w:val="BD2682"/>
          <w:sz w:val="28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color w:val="BD2682"/>
          <w:sz w:val="28"/>
          <w:szCs w:val="36"/>
          <w:lang w:eastAsia="ru-RU"/>
        </w:rPr>
        <w:t>БОТУЛИНОТЕРАПИЯ В ЛЕЧЕНИИ ЦЕРВИКАЛЬНОЙ ДИСТОНИИ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Цервикальная дистония (ЦД): клиническая характеристика, провоцирующие факторы, дифференциальный диагноз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Клиническая анатомия ЦД, паттерны ЦД, вовлечение мышц шеи при разных паттернах и дистоническом треморе. Немоторные симптомы ЦД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Анатомия мышц и структур шеи – изучение на анатомическом препарате (пластинате). Отработка методики пальпации мышц шеи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Правила осмотра пациента с ЦД, видеопротокол. Шкалы оценки ЦД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 тактики ботулинотерапии (препарат, доза, мышцы, контроль инъекции, кратность). Нежелательные явления, профилактика, тактика при их развитии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Подготовка пациента к процедуре, заполнение документов, оснащение процедурного кабинета, работа портативного анализатора МИСТ (для ЭМГ-контроля), приготовление препарата и расходных материалов для инъекции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Проведение инъекции с демонстрацией ЭМГ-контроля инъекции (3-4 пациента с разными паттернами ЦД) совместно с курсантами, фиксация протоколов инъекции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12" w:after="240"/>
        <w:outlineLvl w:val="2"/>
        <w:rPr>
          <w:rFonts w:ascii="Times New Roman" w:hAnsi="Times New Roman" w:eastAsia="Times New Roman" w:cs="Times New Roman"/>
          <w:caps/>
          <w:color w:val="BD2682"/>
          <w:sz w:val="28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color w:val="BD2682"/>
          <w:sz w:val="28"/>
          <w:szCs w:val="36"/>
          <w:lang w:eastAsia="ru-RU"/>
        </w:rPr>
        <w:t>БОТУЛИНОТЕРАПИЯ В ЛЕЧЕНИИ БЛЕФАРОСПАЗМА И ГЕМИФАЦИАЛЬНОГО СПАЗМА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Блефароспазм (БСП) как форма фокальной дистонии. Клиническая характеристика, провоцирующиие факторы, дифференциальный диагноз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Клиническая анатомия БСП, паттерны БСП, вовлечение мышц лица при разных паттернах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Анатомия мышц и структур лица – изучение на анатомическом препарате (пластинате)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Правила осмотра пациента с БСП, видеопротокол. Шкалы оценки БСП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Гемифациальный спазм (ГФС). Клиническая картина, нейро-васкулярный конфликт (НВК) в этиологии ГФС, выявление НВК Дифференциальный диагноз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 тактики ботулинотерапии при БСП и ГФС (препарат, доза, мышцы, схема инъекции, кратность). Нежелательные явления, профилактика, тактика при их развитии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Подготовка пациента к процедуре, заполнение документов, оснащение процедурного кабинета, подготовка препарата и расходных материалов для инъекции.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Проведение инъекции (3-4 пациента с разными паттернами БСП, 3-4 пациента с ГФС) совместно с курсантами, фиксация протоколов инъекции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Отработка техники инъекции в мимические мышцы на муляже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12" w:after="240"/>
        <w:outlineLvl w:val="2"/>
        <w:rPr>
          <w:rFonts w:ascii="Times New Roman" w:hAnsi="Times New Roman" w:eastAsia="Times New Roman" w:cs="Times New Roman"/>
          <w:caps/>
          <w:color w:val="BD2682"/>
          <w:sz w:val="28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color w:val="BD2682"/>
          <w:sz w:val="28"/>
          <w:szCs w:val="36"/>
          <w:lang w:eastAsia="ru-RU"/>
        </w:rPr>
        <w:t>ХРОНИЧЕСКАЯ МИГРЕНЬ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Хроническая мигрень: определение, терминология, диагностика, классификация, этиопатогенез, дифференциальный диагноз ХМ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Коморбидные расстройства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ХМ и проблема избыточного применения лекарственных препаратов.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Ботулинотерапия ХМ. Доказательная база эффективности и безопасности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Исследование PREEMPT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Механизм обезболивающего действия лекарственного препарата ботулинического токсина типа А при ХМ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Процедура инъекций ботулотоксина типа А при лечении ХМ.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 доз и выбор точек введения. Техника инъекций. Методики «Фиксированные точки-Фиксированные дозы» и «Следуя за болью».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Опрос и осмотр пациента перед инъекцией, особенности пальпации перикраниальных и жевательных мышц, положение пациента в зависимости от зоны инъекций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Подготовка препарата и всех расходных материалов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Демонстрация процедуры инъекций ботулотоксина типа А у пациента с ХМ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Отработка нахождения точек и техники инъекции на муляже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2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sz w:val="28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a02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LibreOffice/5.4.2.2$Windows_x86 LibreOffice_project/22b09f6418e8c2d508a9eaf86b2399209b0990f4</Application>
  <Pages>3</Pages>
  <Words>565</Words>
  <Characters>4217</Characters>
  <CharactersWithSpaces>4688</CharactersWithSpaces>
  <Paragraphs>59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2018-02-12T18:47:00Z</dcterms:created>
  <dc:creator>giscraft</dc:creator>
  <dc:description/>
  <dc:language>ru-RU</dc:language>
  <cp:lastModifiedBy/>
  <cp:lastPrinted>2019-03-25T15:08:24Z</cp:lastPrinted>
  <dcterms:modified xsi:type="dcterms:W3CDTF">2019-11-06T17:52:15Z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